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60" w:rsidRPr="00FA5C80" w:rsidRDefault="00A2386F">
      <w:pPr>
        <w:rPr>
          <w:b/>
          <w:sz w:val="28"/>
          <w:szCs w:val="28"/>
        </w:rPr>
      </w:pPr>
      <w:r w:rsidRPr="00FA5C80">
        <w:rPr>
          <w:b/>
          <w:sz w:val="28"/>
          <w:szCs w:val="28"/>
        </w:rPr>
        <w:t>Wijzing RWN per 1 april 2022</w:t>
      </w:r>
    </w:p>
    <w:p w:rsidR="00A2386F" w:rsidRDefault="00A2386F" w:rsidP="00FA5C80">
      <w:pPr>
        <w:spacing w:after="0"/>
      </w:pPr>
      <w:r>
        <w:t>Per 1 april 2022 wijzigt de RWN:</w:t>
      </w:r>
    </w:p>
    <w:p w:rsidR="00A2386F" w:rsidRDefault="00A2386F" w:rsidP="00A2386F">
      <w:pPr>
        <w:pStyle w:val="Lijstalinea"/>
        <w:numPr>
          <w:ilvl w:val="0"/>
          <w:numId w:val="1"/>
        </w:numPr>
      </w:pPr>
      <w:r>
        <w:t xml:space="preserve">Er </w:t>
      </w:r>
      <w:r w:rsidR="00E25114">
        <w:t>is</w:t>
      </w:r>
      <w:r w:rsidR="007B0763">
        <w:t xml:space="preserve"> </w:t>
      </w:r>
      <w:r>
        <w:t xml:space="preserve">een nieuwe optiemogelijkheid in artikel 6, lid 1, onder p als oplossing voor het </w:t>
      </w:r>
      <w:proofErr w:type="spellStart"/>
      <w:r>
        <w:t>Tjebbes</w:t>
      </w:r>
      <w:proofErr w:type="spellEnd"/>
      <w:r>
        <w:t xml:space="preserve"> arrest</w:t>
      </w:r>
      <w:r w:rsidR="001D214E">
        <w:t xml:space="preserve"> (= uitspraak van het Europese Hof dat het verlies van de Nederlandse nationaliteit en daardoor het Unieburgerschap, niet tot onevenredige gevolgen voor het Unierecht mag leiden)</w:t>
      </w:r>
      <w:r w:rsidR="007B0763">
        <w:t>.</w:t>
      </w:r>
    </w:p>
    <w:p w:rsidR="00A2386F" w:rsidRDefault="00A2386F" w:rsidP="00A2386F">
      <w:pPr>
        <w:pStyle w:val="Lijstalinea"/>
        <w:numPr>
          <w:ilvl w:val="0"/>
          <w:numId w:val="1"/>
        </w:numPr>
      </w:pPr>
      <w:r>
        <w:t>De verliestermijn van artikel 15, lid 1, onder c (verlies na lang verblijf in het buitenland) wordt 13 jaar</w:t>
      </w:r>
      <w:r w:rsidR="007B0763">
        <w:t>.</w:t>
      </w:r>
    </w:p>
    <w:p w:rsidR="006E6CF0" w:rsidRDefault="006E6CF0" w:rsidP="006E6CF0">
      <w:pPr>
        <w:pStyle w:val="Lijstalinea"/>
        <w:ind w:left="360"/>
      </w:pPr>
    </w:p>
    <w:p w:rsidR="00A2386F" w:rsidRPr="006E6CF0" w:rsidRDefault="006E6CF0" w:rsidP="006E6CF0">
      <w:pPr>
        <w:spacing w:after="0"/>
        <w:rPr>
          <w:b/>
        </w:rPr>
      </w:pPr>
      <w:r w:rsidRPr="006E6CF0">
        <w:rPr>
          <w:b/>
        </w:rPr>
        <w:t>1.</w:t>
      </w:r>
      <w:r>
        <w:rPr>
          <w:b/>
        </w:rPr>
        <w:t xml:space="preserve"> </w:t>
      </w:r>
      <w:r w:rsidR="00A2386F" w:rsidRPr="006E6CF0">
        <w:rPr>
          <w:b/>
        </w:rPr>
        <w:t>Optie 6-1,p</w:t>
      </w:r>
    </w:p>
    <w:p w:rsidR="0018755C" w:rsidRDefault="00A2386F" w:rsidP="0018755C">
      <w:pPr>
        <w:spacing w:after="0"/>
        <w:rPr>
          <w:i/>
        </w:rPr>
      </w:pPr>
      <w:r>
        <w:t>De nieuwe optie</w:t>
      </w:r>
      <w:r w:rsidR="007B0763">
        <w:t>bepaling</w:t>
      </w:r>
      <w:r>
        <w:t xml:space="preserve"> luidt:</w:t>
      </w:r>
      <w:r>
        <w:br/>
      </w:r>
      <w:r w:rsidR="0018755C">
        <w:rPr>
          <w:i/>
        </w:rPr>
        <w:t>1.</w:t>
      </w:r>
      <w:r w:rsidR="0018755C" w:rsidRPr="0018755C">
        <w:rPr>
          <w:i/>
        </w:rPr>
        <w:t>Na het afleggen van een daartoe strekkende schriftelijke verklaring verkrijgt door een bevestiging als bedoeld in het derde lid het Nederlanderschap:</w:t>
      </w:r>
    </w:p>
    <w:p w:rsidR="00FA5C80" w:rsidRDefault="00FA5C80" w:rsidP="0018755C">
      <w:pPr>
        <w:spacing w:after="0"/>
        <w:rPr>
          <w:i/>
        </w:rPr>
      </w:pPr>
      <w:r>
        <w:rPr>
          <w:i/>
        </w:rPr>
        <w:t>…</w:t>
      </w:r>
    </w:p>
    <w:p w:rsidR="00A2386F" w:rsidRDefault="00A2386F" w:rsidP="00A2386F">
      <w:pPr>
        <w:rPr>
          <w:i/>
        </w:rPr>
      </w:pPr>
      <w:r w:rsidRPr="00A2386F">
        <w:rPr>
          <w:i/>
        </w:rPr>
        <w:t>p. de vreemdeling die het Nederlanderschap van rechtswege heeft verloren, indien met dat verlies het Unieburgerschap verloren ging en op dat moment redelijkerwijs voorzienbaar was dat dit tot onevenredige gevolgen uit het oogpunt van het Unierecht zou leiden. De herkrijging geschiedt met terugwerkende kracht tot en met het moment waarop het Nederlanderschap verloren ging. Het tweede lid is niet van toepassing.</w:t>
      </w:r>
    </w:p>
    <w:p w:rsidR="00FA5C80" w:rsidRPr="00A2386F" w:rsidRDefault="00FA5C80" w:rsidP="00A2386F">
      <w:pPr>
        <w:rPr>
          <w:i/>
        </w:rPr>
      </w:pPr>
      <w:r>
        <w:rPr>
          <w:i/>
        </w:rPr>
        <w:t>…</w:t>
      </w:r>
    </w:p>
    <w:p w:rsidR="00DB3339" w:rsidRPr="00D46684" w:rsidRDefault="001F7C13" w:rsidP="00DB3339">
      <w:pPr>
        <w:rPr>
          <w:u w:val="single"/>
        </w:rPr>
      </w:pPr>
      <w:r w:rsidRPr="00D46684">
        <w:rPr>
          <w:u w:val="single"/>
        </w:rPr>
        <w:t xml:space="preserve">Aandachtspunten </w:t>
      </w:r>
      <w:r w:rsidR="00D46684" w:rsidRPr="00D46684">
        <w:rPr>
          <w:u w:val="single"/>
        </w:rPr>
        <w:t>voor deze optie</w:t>
      </w:r>
    </w:p>
    <w:p w:rsidR="00DB3339" w:rsidRDefault="00DB3339" w:rsidP="00A2386F">
      <w:pPr>
        <w:pStyle w:val="Lijstalinea"/>
        <w:numPr>
          <w:ilvl w:val="0"/>
          <w:numId w:val="3"/>
        </w:numPr>
      </w:pPr>
      <w:r>
        <w:t>De Nederlandse nationaliteit moet van rechtswege zijn verloren. Zie hieronder het schema na welke verliesgronden er geopteerd kan worden</w:t>
      </w:r>
      <w:r w:rsidR="001D214E">
        <w:t xml:space="preserve"> volgens de Handleiding RWN (HRWN)</w:t>
      </w:r>
      <w:r>
        <w:t xml:space="preserve">. </w:t>
      </w:r>
    </w:p>
    <w:p w:rsidR="00A2386F" w:rsidRDefault="00A2386F" w:rsidP="00A2386F">
      <w:pPr>
        <w:pStyle w:val="Lijstalinea"/>
        <w:numPr>
          <w:ilvl w:val="0"/>
          <w:numId w:val="3"/>
        </w:numPr>
      </w:pPr>
      <w:r>
        <w:t xml:space="preserve">Door het verlies van de Nederlandse nationaliteit moet ook het </w:t>
      </w:r>
      <w:r w:rsidR="00DB3339">
        <w:t>U</w:t>
      </w:r>
      <w:r>
        <w:t>nieburgerschap verloren zijn</w:t>
      </w:r>
      <w:r w:rsidR="001D214E">
        <w:t xml:space="preserve"> gegaan</w:t>
      </w:r>
      <w:r>
        <w:t>. Dit betekent dat de vreemdeling geen andere EU-nationaliteit heeft en dat het verlies van de Nederlandse nationaliteit na 1 november 1993 heeft plaatsgevonden.</w:t>
      </w:r>
    </w:p>
    <w:p w:rsidR="0018755C" w:rsidRDefault="0095019C" w:rsidP="00533EA3">
      <w:pPr>
        <w:pStyle w:val="Lijstalinea"/>
        <w:numPr>
          <w:ilvl w:val="0"/>
          <w:numId w:val="3"/>
        </w:numPr>
      </w:pPr>
      <w:r>
        <w:t>De onevenredige gevolgen van het verlies van het Unieburgerschap</w:t>
      </w:r>
      <w:r w:rsidR="00A2386F">
        <w:t xml:space="preserve"> </w:t>
      </w:r>
      <w:r w:rsidR="00DE6981">
        <w:t xml:space="preserve">voor het Unierecht </w:t>
      </w:r>
      <w:r w:rsidR="00A2386F">
        <w:t>moet</w:t>
      </w:r>
      <w:r>
        <w:t>en</w:t>
      </w:r>
      <w:r w:rsidR="00A2386F">
        <w:t xml:space="preserve"> voorzienbaar zijn op het mome</w:t>
      </w:r>
      <w:r>
        <w:t>nt van verlies</w:t>
      </w:r>
      <w:r w:rsidR="00C63667">
        <w:t xml:space="preserve">. </w:t>
      </w:r>
      <w:r w:rsidR="00DB3339">
        <w:t xml:space="preserve">De voordelen van </w:t>
      </w:r>
      <w:r>
        <w:t>het Unieburgerschap</w:t>
      </w:r>
      <w:r w:rsidR="00DB3339">
        <w:t xml:space="preserve"> zijn</w:t>
      </w:r>
      <w:r>
        <w:t>:</w:t>
      </w:r>
      <w:r w:rsidR="00C63667">
        <w:t xml:space="preserve"> </w:t>
      </w:r>
    </w:p>
    <w:p w:rsidR="0018755C" w:rsidRDefault="0018755C" w:rsidP="0018755C">
      <w:pPr>
        <w:pStyle w:val="Lijstalinea"/>
        <w:numPr>
          <w:ilvl w:val="1"/>
          <w:numId w:val="3"/>
        </w:numPr>
      </w:pPr>
      <w:r>
        <w:t>Vrij verkeer van werknemers in de lidstaten en daar mogen werken</w:t>
      </w:r>
    </w:p>
    <w:p w:rsidR="0018755C" w:rsidRDefault="0018755C" w:rsidP="0018755C">
      <w:pPr>
        <w:pStyle w:val="Lijstalinea"/>
        <w:numPr>
          <w:ilvl w:val="1"/>
          <w:numId w:val="3"/>
        </w:numPr>
      </w:pPr>
      <w:r>
        <w:t xml:space="preserve">Vrij verblijf in de lidstaten en </w:t>
      </w:r>
    </w:p>
    <w:p w:rsidR="0018755C" w:rsidRDefault="0018755C" w:rsidP="0018755C">
      <w:pPr>
        <w:pStyle w:val="Lijstalinea"/>
        <w:numPr>
          <w:ilvl w:val="1"/>
          <w:numId w:val="3"/>
        </w:numPr>
      </w:pPr>
      <w:r>
        <w:t>Eerbiediging van het gezinsleven en familieleven</w:t>
      </w:r>
    </w:p>
    <w:p w:rsidR="004A5C2C" w:rsidRDefault="00DB3339" w:rsidP="004A5C2C">
      <w:pPr>
        <w:pStyle w:val="Lijstalinea"/>
        <w:numPr>
          <w:ilvl w:val="0"/>
          <w:numId w:val="3"/>
        </w:numPr>
      </w:pPr>
      <w:r>
        <w:t xml:space="preserve">Als er sprake is van onevenredige gevolgen, dan moeten die </w:t>
      </w:r>
      <w:r w:rsidR="0018755C">
        <w:t>worden afgewogen tegen de wettelijke doelstelling van de verliesbepaling. De wettelijke doelstellingen zouden volgen de HRWN zijn</w:t>
      </w:r>
      <w:r w:rsidR="00FA5C80">
        <w:t>:</w:t>
      </w:r>
      <w:r w:rsidR="00DB1F5C">
        <w:t xml:space="preserve"> </w:t>
      </w:r>
    </w:p>
    <w:p w:rsidR="004A5C2C" w:rsidRDefault="00DE6981" w:rsidP="004A5C2C">
      <w:pPr>
        <w:pStyle w:val="Lijstalinea"/>
        <w:numPr>
          <w:ilvl w:val="1"/>
          <w:numId w:val="3"/>
        </w:numPr>
      </w:pPr>
      <w:r>
        <w:t>H</w:t>
      </w:r>
      <w:r w:rsidR="00DB1F5C">
        <w:t>et nastreven van enkelvoudige n</w:t>
      </w:r>
      <w:r w:rsidR="004A5C2C">
        <w:t>ati</w:t>
      </w:r>
      <w:r w:rsidR="0018755C">
        <w:t>onaliteit</w:t>
      </w:r>
      <w:r w:rsidR="004A5C2C">
        <w:t>. Hierdoor kan het Nederlanderschap verloren gaan als de persoon ook een andere nationaliteit heeft en de</w:t>
      </w:r>
      <w:r w:rsidR="00DB1F5C">
        <w:t xml:space="preserve"> ban</w:t>
      </w:r>
      <w:r w:rsidR="004A5C2C">
        <w:t>d</w:t>
      </w:r>
      <w:r w:rsidR="00DB1F5C">
        <w:t xml:space="preserve"> met Nederland</w:t>
      </w:r>
      <w:r w:rsidR="0018755C">
        <w:t xml:space="preserve"> </w:t>
      </w:r>
      <w:r w:rsidR="004A5C2C">
        <w:t>niet meer effectief is</w:t>
      </w:r>
      <w:r w:rsidR="001F7C13">
        <w:t>, bijvoorbeeld</w:t>
      </w:r>
      <w:r w:rsidR="004A5C2C">
        <w:t xml:space="preserve"> door lang verblijf in het buitenland</w:t>
      </w:r>
      <w:r w:rsidR="001F7C13">
        <w:t xml:space="preserve"> (verliesbepalingen 15-1, a en c)</w:t>
      </w:r>
      <w:r w:rsidR="004A5C2C">
        <w:t xml:space="preserve">. </w:t>
      </w:r>
    </w:p>
    <w:p w:rsidR="0018755C" w:rsidRDefault="00DE6981" w:rsidP="004A5C2C">
      <w:pPr>
        <w:pStyle w:val="Lijstalinea"/>
        <w:numPr>
          <w:ilvl w:val="1"/>
          <w:numId w:val="3"/>
        </w:numPr>
      </w:pPr>
      <w:r>
        <w:t>E</w:t>
      </w:r>
      <w:r w:rsidR="0018755C">
        <w:t>enheid van nationaliteit binnen het gezin</w:t>
      </w:r>
      <w:r w:rsidR="001F7C13">
        <w:t xml:space="preserve"> (verliesbepalingen van kinderen)</w:t>
      </w:r>
    </w:p>
    <w:p w:rsidR="001F7C13" w:rsidRDefault="001F7C13" w:rsidP="001F7C13">
      <w:pPr>
        <w:pStyle w:val="Lijstalinea"/>
        <w:numPr>
          <w:ilvl w:val="0"/>
          <w:numId w:val="3"/>
        </w:numPr>
      </w:pPr>
      <w:r>
        <w:t xml:space="preserve">De optant moet documenten overleggen waaruit het onevenredig </w:t>
      </w:r>
      <w:r w:rsidR="00DE6981">
        <w:t>nadeel</w:t>
      </w:r>
      <w:r>
        <w:t xml:space="preserve"> kan blijken. Ondanks het verzoek van de NVVB is door de IND </w:t>
      </w:r>
      <w:r w:rsidR="00DE6981">
        <w:t xml:space="preserve">(nog) </w:t>
      </w:r>
      <w:r>
        <w:t xml:space="preserve">geen lijst gegeven van mogelijke documenten. </w:t>
      </w:r>
      <w:r w:rsidR="000232B2">
        <w:t>Gedacht kan worden aan de volgende documenten:</w:t>
      </w:r>
    </w:p>
    <w:p w:rsidR="000232B2" w:rsidRDefault="000232B2" w:rsidP="000232B2">
      <w:pPr>
        <w:pStyle w:val="Lijstalinea"/>
        <w:numPr>
          <w:ilvl w:val="1"/>
          <w:numId w:val="3"/>
        </w:numPr>
      </w:pPr>
      <w:r>
        <w:t>Eigendomsbewijzen onroerend goed</w:t>
      </w:r>
    </w:p>
    <w:p w:rsidR="000232B2" w:rsidRDefault="000232B2" w:rsidP="000232B2">
      <w:pPr>
        <w:pStyle w:val="Lijstalinea"/>
        <w:numPr>
          <w:ilvl w:val="1"/>
          <w:numId w:val="3"/>
        </w:numPr>
      </w:pPr>
      <w:r>
        <w:t>Inschrijving onderwijsinstelling</w:t>
      </w:r>
    </w:p>
    <w:p w:rsidR="000232B2" w:rsidRDefault="000232B2" w:rsidP="000232B2">
      <w:pPr>
        <w:pStyle w:val="Lijstalinea"/>
        <w:numPr>
          <w:ilvl w:val="1"/>
          <w:numId w:val="3"/>
        </w:numPr>
      </w:pPr>
      <w:r>
        <w:t>Visa en in- en uitreisstempels in paspoort</w:t>
      </w:r>
    </w:p>
    <w:p w:rsidR="000232B2" w:rsidRDefault="000232B2" w:rsidP="00C454B8">
      <w:pPr>
        <w:pStyle w:val="Lijstalinea"/>
        <w:numPr>
          <w:ilvl w:val="1"/>
          <w:numId w:val="3"/>
        </w:numPr>
      </w:pPr>
      <w:r>
        <w:t>Werkgeversverklaring</w:t>
      </w:r>
    </w:p>
    <w:p w:rsidR="00A2386F" w:rsidRDefault="00C63667" w:rsidP="001F7C13">
      <w:pPr>
        <w:pStyle w:val="Lijstalinea"/>
        <w:numPr>
          <w:ilvl w:val="0"/>
          <w:numId w:val="3"/>
        </w:numPr>
      </w:pPr>
      <w:r>
        <w:lastRenderedPageBreak/>
        <w:t xml:space="preserve">De beoordeling </w:t>
      </w:r>
      <w:r w:rsidR="001F7C13">
        <w:t xml:space="preserve">van onevenredig nadeel </w:t>
      </w:r>
      <w:r>
        <w:t xml:space="preserve">is voor de gemeente </w:t>
      </w:r>
      <w:r w:rsidR="00DE6981">
        <w:t>moeilijk</w:t>
      </w:r>
      <w:r>
        <w:t>. Er moet advies gevraagd worden aan de IND</w:t>
      </w:r>
      <w:r w:rsidR="00FA5C80">
        <w:t xml:space="preserve"> (met model 1.52)</w:t>
      </w:r>
      <w:r>
        <w:t>. De gemeente is niet verplicht het advies op te volg</w:t>
      </w:r>
      <w:r w:rsidR="00DB3339">
        <w:t>en, m</w:t>
      </w:r>
      <w:r w:rsidR="003E4A31">
        <w:t>aar een eigen beoordeling lijkt</w:t>
      </w:r>
      <w:r>
        <w:t xml:space="preserve"> </w:t>
      </w:r>
      <w:r w:rsidR="00DE6981">
        <w:t>moeilijk. Om die reden wordt er</w:t>
      </w:r>
      <w:r>
        <w:t xml:space="preserve">aan gedacht om vooraf het advies aan </w:t>
      </w:r>
      <w:r w:rsidR="003E4A31">
        <w:t xml:space="preserve">de IND </w:t>
      </w:r>
      <w:r>
        <w:t>te vragen, zodat de burger goed geïnformeerd kan worden</w:t>
      </w:r>
      <w:r w:rsidR="00DE6981">
        <w:t xml:space="preserve"> over de haalbaarheid van de optie</w:t>
      </w:r>
      <w:r>
        <w:t>.</w:t>
      </w:r>
      <w:r w:rsidR="00DB3339">
        <w:t xml:space="preserve"> De NVVB gaat dit bespreken met de IND.</w:t>
      </w:r>
      <w:r>
        <w:br/>
        <w:t>Voor het vragen van advies is, ondanks het verzoek van de NVVB, de beslistermijn van 13 weken (+ verlengingsmogelijkheid van 13 weken) niet verlengd. De IND wil 8 weken krijgen voor het geven van advies.</w:t>
      </w:r>
      <w:r w:rsidR="00DE6981">
        <w:t xml:space="preserve"> Dit lijkt onredelijk en lijkt</w:t>
      </w:r>
      <w:r w:rsidR="00DB3339">
        <w:t xml:space="preserve"> eens te meer een reden om vooraf advies te vragen.</w:t>
      </w:r>
    </w:p>
    <w:p w:rsidR="00C63667" w:rsidRDefault="00C63667" w:rsidP="00A2386F">
      <w:pPr>
        <w:pStyle w:val="Lijstalinea"/>
        <w:numPr>
          <w:ilvl w:val="0"/>
          <w:numId w:val="3"/>
        </w:numPr>
      </w:pPr>
      <w:r>
        <w:t>De verklaring van verbondenheid hoeft niet te worden afgelegd</w:t>
      </w:r>
      <w:r w:rsidR="00FA5C80">
        <w:t xml:space="preserve"> (die staat in artikel 6, lid 2)</w:t>
      </w:r>
      <w:r>
        <w:t>.</w:t>
      </w:r>
    </w:p>
    <w:p w:rsidR="00C63667" w:rsidRDefault="00C63667" w:rsidP="00A2386F">
      <w:pPr>
        <w:pStyle w:val="Lijstalinea"/>
        <w:numPr>
          <w:ilvl w:val="0"/>
          <w:numId w:val="3"/>
        </w:numPr>
      </w:pPr>
      <w:r>
        <w:t>De verkrijging van de Nederlandse nationaliteit werkt terug tot de datum van verlies.</w:t>
      </w:r>
      <w:r w:rsidR="0018755C">
        <w:t xml:space="preserve"> Voor de optie moet dus uitgezocht worden</w:t>
      </w:r>
      <w:r w:rsidR="00DB1F5C">
        <w:t>:</w:t>
      </w:r>
    </w:p>
    <w:p w:rsidR="0018755C" w:rsidRDefault="0018755C" w:rsidP="0018755C">
      <w:pPr>
        <w:pStyle w:val="Lijstalinea"/>
        <w:numPr>
          <w:ilvl w:val="1"/>
          <w:numId w:val="3"/>
        </w:numPr>
      </w:pPr>
      <w:r>
        <w:t>Wat is de verliesgrond</w:t>
      </w:r>
    </w:p>
    <w:p w:rsidR="00DB1F5C" w:rsidRDefault="0018755C" w:rsidP="001C4699">
      <w:pPr>
        <w:pStyle w:val="Lijstalinea"/>
        <w:numPr>
          <w:ilvl w:val="1"/>
          <w:numId w:val="3"/>
        </w:numPr>
      </w:pPr>
      <w:r>
        <w:t>Wat is de verliesdatum</w:t>
      </w:r>
    </w:p>
    <w:p w:rsidR="00FA5C80" w:rsidRDefault="00FA5C80" w:rsidP="00FA5C80">
      <w:pPr>
        <w:pStyle w:val="Lijstalinea"/>
        <w:numPr>
          <w:ilvl w:val="0"/>
          <w:numId w:val="3"/>
        </w:numPr>
      </w:pPr>
      <w:r>
        <w:t>Er zijn 4 nieuwe modellen:</w:t>
      </w:r>
    </w:p>
    <w:p w:rsidR="00FA5C80" w:rsidRDefault="00D46684" w:rsidP="00FA5C80">
      <w:pPr>
        <w:pStyle w:val="Lijstalinea"/>
        <w:numPr>
          <w:ilvl w:val="1"/>
          <w:numId w:val="3"/>
        </w:numPr>
      </w:pPr>
      <w:r>
        <w:t>Model 1.51:</w:t>
      </w:r>
      <w:r w:rsidR="00FA5C80">
        <w:t xml:space="preserve"> de nieuwe optieverklaring </w:t>
      </w:r>
    </w:p>
    <w:p w:rsidR="00FA5C80" w:rsidRDefault="00FA5C80" w:rsidP="00FA5C80">
      <w:pPr>
        <w:pStyle w:val="Lijstalinea"/>
        <w:numPr>
          <w:ilvl w:val="1"/>
          <w:numId w:val="3"/>
        </w:numPr>
      </w:pPr>
      <w:r>
        <w:t>Model 1.52</w:t>
      </w:r>
      <w:r w:rsidR="00D46684">
        <w:t>:</w:t>
      </w:r>
      <w:r>
        <w:t xml:space="preserve"> de adviesaanvraag aan de IND</w:t>
      </w:r>
    </w:p>
    <w:p w:rsidR="00FA5C80" w:rsidRDefault="00FA5C80" w:rsidP="00FA5C80">
      <w:pPr>
        <w:pStyle w:val="Lijstalinea"/>
        <w:numPr>
          <w:ilvl w:val="1"/>
          <w:numId w:val="3"/>
        </w:numPr>
      </w:pPr>
      <w:r>
        <w:t>Model 1.53</w:t>
      </w:r>
      <w:r w:rsidR="00D46684">
        <w:t>:</w:t>
      </w:r>
      <w:r>
        <w:t xml:space="preserve"> het advies van de IND aan de gemeente en</w:t>
      </w:r>
    </w:p>
    <w:p w:rsidR="00FA5C80" w:rsidRDefault="00FA5C80" w:rsidP="00FA5C80">
      <w:pPr>
        <w:pStyle w:val="Lijstalinea"/>
        <w:numPr>
          <w:ilvl w:val="1"/>
          <w:numId w:val="3"/>
        </w:numPr>
      </w:pPr>
      <w:r>
        <w:t>Model 1.54</w:t>
      </w:r>
      <w:r w:rsidR="00D46684">
        <w:t>:</w:t>
      </w:r>
      <w:r>
        <w:t xml:space="preserve"> de bevestiging van de optie (apart model omdat de bevestiging terugwerkende kracht heeft tot datum verlies) </w:t>
      </w:r>
    </w:p>
    <w:p w:rsidR="00DB1F5C" w:rsidRDefault="00DB1F5C" w:rsidP="00DB1F5C">
      <w:pPr>
        <w:pStyle w:val="Lijstalinea"/>
        <w:numPr>
          <w:ilvl w:val="0"/>
          <w:numId w:val="3"/>
        </w:numPr>
      </w:pPr>
      <w:r>
        <w:t>Het is de bedoeling dat de adviesaanvraag en het advies worden verzonden via de bestands</w:t>
      </w:r>
      <w:r w:rsidR="00DF5B3C">
        <w:t>post</w:t>
      </w:r>
      <w:r>
        <w:t>bus</w:t>
      </w:r>
      <w:r w:rsidR="00DF5B3C">
        <w:t xml:space="preserve"> van het Ministerie van Justitie en Veiligheid</w:t>
      </w:r>
      <w:r>
        <w:t>.</w:t>
      </w:r>
    </w:p>
    <w:p w:rsidR="00B5400D" w:rsidRPr="00E33F8E" w:rsidRDefault="00E33F8E" w:rsidP="00C63667">
      <w:r>
        <w:t>De IND gaat waarschijnlijk nog een Webinar</w:t>
      </w:r>
      <w:bookmarkStart w:id="0" w:name="_GoBack"/>
      <w:bookmarkEnd w:id="0"/>
      <w:r>
        <w:t xml:space="preserve"> organiseren over deze nieuwe optiegrond.</w:t>
      </w:r>
    </w:p>
    <w:p w:rsidR="00C63667" w:rsidRPr="00D46684" w:rsidRDefault="00C63667" w:rsidP="00C63667">
      <w:pPr>
        <w:rPr>
          <w:u w:val="single"/>
        </w:rPr>
      </w:pPr>
      <w:r w:rsidRPr="00D46684">
        <w:rPr>
          <w:u w:val="single"/>
        </w:rPr>
        <w:t>Na welke verliesgrond kan er geopteerd worden?</w:t>
      </w:r>
    </w:p>
    <w:tbl>
      <w:tblPr>
        <w:tblStyle w:val="Tabelraster"/>
        <w:tblW w:w="9067" w:type="dxa"/>
        <w:tblLook w:val="04A0" w:firstRow="1" w:lastRow="0" w:firstColumn="1" w:lastColumn="0" w:noHBand="0" w:noVBand="1"/>
      </w:tblPr>
      <w:tblGrid>
        <w:gridCol w:w="1696"/>
        <w:gridCol w:w="5387"/>
        <w:gridCol w:w="1984"/>
      </w:tblGrid>
      <w:tr w:rsidR="005C2FCF" w:rsidRPr="00C63667" w:rsidTr="001733A0">
        <w:trPr>
          <w:trHeight w:val="567"/>
        </w:trPr>
        <w:tc>
          <w:tcPr>
            <w:tcW w:w="1696" w:type="dxa"/>
            <w:vAlign w:val="center"/>
          </w:tcPr>
          <w:p w:rsidR="005C2FCF" w:rsidRPr="00FA5C80" w:rsidRDefault="005C2FCF" w:rsidP="00C63667">
            <w:pPr>
              <w:spacing w:after="160" w:line="259" w:lineRule="auto"/>
              <w:rPr>
                <w:b/>
              </w:rPr>
            </w:pPr>
            <w:r w:rsidRPr="00FA5C80">
              <w:rPr>
                <w:b/>
              </w:rPr>
              <w:t>Verlies o.g.v. artikel</w:t>
            </w:r>
          </w:p>
        </w:tc>
        <w:tc>
          <w:tcPr>
            <w:tcW w:w="5387" w:type="dxa"/>
            <w:vAlign w:val="center"/>
          </w:tcPr>
          <w:p w:rsidR="005C2FCF" w:rsidRPr="00FA5C80" w:rsidRDefault="005C2FCF" w:rsidP="00701937">
            <w:pPr>
              <w:spacing w:after="160" w:line="259" w:lineRule="auto"/>
              <w:rPr>
                <w:b/>
              </w:rPr>
            </w:pPr>
            <w:r w:rsidRPr="00FA5C80">
              <w:rPr>
                <w:b/>
              </w:rPr>
              <w:t>Uitleg</w:t>
            </w:r>
            <w:r w:rsidR="00D20E17">
              <w:rPr>
                <w:b/>
              </w:rPr>
              <w:t xml:space="preserve"> artikel en ev</w:t>
            </w:r>
            <w:r w:rsidR="00701937">
              <w:rPr>
                <w:b/>
              </w:rPr>
              <w:t>en</w:t>
            </w:r>
            <w:r w:rsidR="00D20E17">
              <w:rPr>
                <w:b/>
              </w:rPr>
              <w:t>t</w:t>
            </w:r>
            <w:r w:rsidR="00701937">
              <w:rPr>
                <w:b/>
              </w:rPr>
              <w:t>uele</w:t>
            </w:r>
            <w:r w:rsidR="00D20E17">
              <w:rPr>
                <w:b/>
              </w:rPr>
              <w:t xml:space="preserve"> actie gemeente</w:t>
            </w:r>
          </w:p>
        </w:tc>
        <w:tc>
          <w:tcPr>
            <w:tcW w:w="1984" w:type="dxa"/>
            <w:vAlign w:val="center"/>
          </w:tcPr>
          <w:p w:rsidR="005C2FCF" w:rsidRPr="00FA5C80" w:rsidRDefault="005C2FCF" w:rsidP="005C2FCF">
            <w:pPr>
              <w:rPr>
                <w:b/>
              </w:rPr>
            </w:pPr>
            <w:r w:rsidRPr="00FA5C80">
              <w:rPr>
                <w:b/>
              </w:rPr>
              <w:t>Vermoedelijke plaats optie</w:t>
            </w:r>
          </w:p>
        </w:tc>
      </w:tr>
      <w:tr w:rsidR="005C2FCF" w:rsidRPr="00C63667" w:rsidTr="001733A0">
        <w:trPr>
          <w:trHeight w:val="567"/>
        </w:trPr>
        <w:tc>
          <w:tcPr>
            <w:tcW w:w="1696" w:type="dxa"/>
          </w:tcPr>
          <w:p w:rsidR="005C2FCF" w:rsidRPr="00C63667" w:rsidRDefault="005C2FCF" w:rsidP="00C63667">
            <w:pPr>
              <w:spacing w:after="160" w:line="259" w:lineRule="auto"/>
            </w:pPr>
            <w:r w:rsidRPr="00C63667">
              <w:t>14-6</w:t>
            </w:r>
          </w:p>
          <w:p w:rsidR="005C2FCF" w:rsidRPr="00C63667" w:rsidRDefault="005C2FCF" w:rsidP="00C63667">
            <w:pPr>
              <w:spacing w:after="160" w:line="259" w:lineRule="auto"/>
            </w:pPr>
          </w:p>
        </w:tc>
        <w:tc>
          <w:tcPr>
            <w:tcW w:w="5387" w:type="dxa"/>
            <w:vAlign w:val="center"/>
          </w:tcPr>
          <w:p w:rsidR="005C2FCF" w:rsidRPr="00C63667" w:rsidRDefault="005C2FCF" w:rsidP="00D20E17">
            <w:pPr>
              <w:spacing w:after="160" w:line="259" w:lineRule="auto"/>
            </w:pPr>
            <w:r>
              <w:t>Verlies</w:t>
            </w:r>
            <w:r w:rsidR="00BC3218">
              <w:t xml:space="preserve"> </w:t>
            </w:r>
            <w:proofErr w:type="spellStart"/>
            <w:r w:rsidR="00BC3218">
              <w:t>Ned.nat</w:t>
            </w:r>
            <w:proofErr w:type="spellEnd"/>
            <w:r w:rsidR="00BC3218">
              <w:t>.</w:t>
            </w:r>
            <w:r>
              <w:t xml:space="preserve"> minderjarig</w:t>
            </w:r>
            <w:r w:rsidR="004B10C0">
              <w:t xml:space="preserve"> kind</w:t>
            </w:r>
            <w:r w:rsidR="00D20E17">
              <w:t xml:space="preserve"> na vervallen </w:t>
            </w:r>
            <w:proofErr w:type="spellStart"/>
            <w:r w:rsidR="00D20E17">
              <w:t>familie-rechte</w:t>
            </w:r>
            <w:r w:rsidR="00EA4304">
              <w:t>r</w:t>
            </w:r>
            <w:r w:rsidR="00D20E17">
              <w:t>lijke</w:t>
            </w:r>
            <w:proofErr w:type="spellEnd"/>
            <w:r w:rsidR="00D20E17">
              <w:t xml:space="preserve"> betrekkingen (</w:t>
            </w:r>
            <w:proofErr w:type="spellStart"/>
            <w:r w:rsidR="00D20E17">
              <w:t>frb</w:t>
            </w:r>
            <w:proofErr w:type="spellEnd"/>
            <w:r w:rsidR="00D20E17">
              <w:t>)</w:t>
            </w:r>
            <w:r>
              <w:t xml:space="preserve">. </w:t>
            </w:r>
            <w:r w:rsidRPr="00C63667">
              <w:t>G</w:t>
            </w:r>
            <w:r>
              <w:t>emeenten ontvangen de uitspraak van de rechtbank.</w:t>
            </w:r>
            <w:r w:rsidR="00EA4304">
              <w:br/>
            </w:r>
            <w:r w:rsidR="00EA4304">
              <w:sym w:font="Wingdings" w:char="F0E8"/>
            </w:r>
            <w:r>
              <w:t xml:space="preserve"> In b</w:t>
            </w:r>
            <w:r w:rsidR="00FA5C80">
              <w:t>rief aan burger</w:t>
            </w:r>
            <w:r w:rsidR="00D46684">
              <w:t xml:space="preserve"> over verlies</w:t>
            </w:r>
            <w:r w:rsidR="00FA5C80">
              <w:t xml:space="preserve"> wijzen op 6-1,p</w:t>
            </w:r>
          </w:p>
        </w:tc>
        <w:tc>
          <w:tcPr>
            <w:tcW w:w="1984" w:type="dxa"/>
          </w:tcPr>
          <w:p w:rsidR="005C2FCF" w:rsidRPr="00C63667" w:rsidRDefault="005C2FCF" w:rsidP="005C2FCF">
            <w:pPr>
              <w:spacing w:after="160" w:line="259" w:lineRule="auto"/>
            </w:pPr>
            <w:r w:rsidRPr="00C63667">
              <w:t>N</w:t>
            </w:r>
            <w:r>
              <w:t>L</w:t>
            </w:r>
          </w:p>
          <w:p w:rsidR="005C2FCF" w:rsidRPr="00C63667" w:rsidRDefault="005C2FCF" w:rsidP="00C63667"/>
        </w:tc>
      </w:tr>
      <w:tr w:rsidR="005C2FCF" w:rsidRPr="00C63667" w:rsidTr="001733A0">
        <w:trPr>
          <w:trHeight w:val="567"/>
        </w:trPr>
        <w:tc>
          <w:tcPr>
            <w:tcW w:w="1696" w:type="dxa"/>
          </w:tcPr>
          <w:p w:rsidR="005C2FCF" w:rsidRPr="00C63667" w:rsidRDefault="005C2FCF" w:rsidP="00693550">
            <w:pPr>
              <w:spacing w:after="160" w:line="259" w:lineRule="auto"/>
            </w:pPr>
            <w:r w:rsidRPr="00C63667">
              <w:t xml:space="preserve">15-1,a (of 15a </w:t>
            </w:r>
            <w:r w:rsidR="00693550">
              <w:t>RWN 1984)</w:t>
            </w:r>
            <w:r w:rsidRPr="00C63667">
              <w:t>)</w:t>
            </w:r>
          </w:p>
        </w:tc>
        <w:tc>
          <w:tcPr>
            <w:tcW w:w="5387" w:type="dxa"/>
            <w:vAlign w:val="center"/>
          </w:tcPr>
          <w:p w:rsidR="00D20E17" w:rsidRPr="00C63667" w:rsidRDefault="005C2FCF" w:rsidP="00C63667">
            <w:pPr>
              <w:spacing w:after="160" w:line="259" w:lineRule="auto"/>
            </w:pPr>
            <w:r>
              <w:t>Verlies</w:t>
            </w:r>
            <w:r w:rsidR="00BC3218">
              <w:t xml:space="preserve"> </w:t>
            </w:r>
            <w:proofErr w:type="spellStart"/>
            <w:r w:rsidR="00BC3218">
              <w:t>Ned.nat</w:t>
            </w:r>
            <w:proofErr w:type="spellEnd"/>
            <w:r>
              <w:t xml:space="preserve"> door het vrijwillig verkrijgen van een andere nationaliteit</w:t>
            </w:r>
            <w:r w:rsidR="00D20E17">
              <w:t xml:space="preserve">. </w:t>
            </w:r>
            <w:r w:rsidR="00D20E17">
              <w:br/>
            </w:r>
            <w:r w:rsidR="00EA4304">
              <w:sym w:font="Wingdings" w:char="F0E8"/>
            </w:r>
            <w:r w:rsidR="00EA4304">
              <w:t xml:space="preserve"> </w:t>
            </w:r>
            <w:r w:rsidR="00D20E17">
              <w:t>Als dit blijkt bij 1</w:t>
            </w:r>
            <w:r w:rsidR="00D20E17" w:rsidRPr="00D20E17">
              <w:rPr>
                <w:vertAlign w:val="superscript"/>
              </w:rPr>
              <w:t>e</w:t>
            </w:r>
            <w:r w:rsidR="00D20E17">
              <w:t xml:space="preserve"> inschrijving, burger wijzen op 6-1,p</w:t>
            </w:r>
          </w:p>
        </w:tc>
        <w:tc>
          <w:tcPr>
            <w:tcW w:w="1984" w:type="dxa"/>
          </w:tcPr>
          <w:p w:rsidR="005C2FCF" w:rsidRPr="00C63667" w:rsidRDefault="005C2FCF" w:rsidP="00D46684">
            <w:r w:rsidRPr="00C63667">
              <w:t xml:space="preserve">Buitenland of NL </w:t>
            </w:r>
            <w:r w:rsidR="00D46684">
              <w:t>bij</w:t>
            </w:r>
            <w:r w:rsidRPr="00C63667">
              <w:t xml:space="preserve"> 1</w:t>
            </w:r>
            <w:r w:rsidRPr="00C63667">
              <w:rPr>
                <w:vertAlign w:val="superscript"/>
              </w:rPr>
              <w:t>e</w:t>
            </w:r>
            <w:r w:rsidRPr="00C63667">
              <w:t xml:space="preserve"> inschrijving BRP</w:t>
            </w:r>
            <w:r w:rsidR="00FA5C80">
              <w:t xml:space="preserve"> </w:t>
            </w:r>
          </w:p>
        </w:tc>
      </w:tr>
      <w:tr w:rsidR="005C2FCF" w:rsidRPr="00C63667" w:rsidTr="001733A0">
        <w:trPr>
          <w:trHeight w:val="567"/>
        </w:trPr>
        <w:tc>
          <w:tcPr>
            <w:tcW w:w="1696" w:type="dxa"/>
          </w:tcPr>
          <w:p w:rsidR="005C2FCF" w:rsidRPr="00C63667" w:rsidRDefault="005C2FCF" w:rsidP="00BC3218">
            <w:pPr>
              <w:spacing w:after="160" w:line="259" w:lineRule="auto"/>
            </w:pPr>
            <w:r w:rsidRPr="00C63667">
              <w:t xml:space="preserve">15-1,c (of 15c </w:t>
            </w:r>
            <w:r w:rsidR="00BC3218">
              <w:t>RWN 1984</w:t>
            </w:r>
            <w:r w:rsidRPr="00C63667">
              <w:t>)</w:t>
            </w:r>
          </w:p>
        </w:tc>
        <w:tc>
          <w:tcPr>
            <w:tcW w:w="5387" w:type="dxa"/>
            <w:vAlign w:val="center"/>
          </w:tcPr>
          <w:p w:rsidR="005C2FCF" w:rsidRPr="00C63667" w:rsidRDefault="005C2FCF" w:rsidP="00D46684">
            <w:pPr>
              <w:spacing w:after="160" w:line="259" w:lineRule="auto"/>
            </w:pPr>
            <w:r>
              <w:t xml:space="preserve">Verlies </w:t>
            </w:r>
            <w:proofErr w:type="spellStart"/>
            <w:r w:rsidR="00BC3218">
              <w:t>Ned.nat</w:t>
            </w:r>
            <w:proofErr w:type="spellEnd"/>
            <w:r w:rsidR="00BC3218">
              <w:t xml:space="preserve">. </w:t>
            </w:r>
            <w:r>
              <w:t>na lang verblijf in het buitenland (buiten NL</w:t>
            </w:r>
            <w:r w:rsidR="00BC3218">
              <w:t xml:space="preserve"> of EU</w:t>
            </w:r>
            <w:r>
              <w:t>, v</w:t>
            </w:r>
            <w:r w:rsidR="00D46684">
              <w:t>óó</w:t>
            </w:r>
            <w:r w:rsidR="00BC3218">
              <w:t>r</w:t>
            </w:r>
            <w:r>
              <w:t xml:space="preserve"> 1 april 2003, buiten NL)</w:t>
            </w:r>
            <w:r w:rsidR="00D20E17">
              <w:br/>
            </w:r>
            <w:r w:rsidR="00EA4304">
              <w:sym w:font="Wingdings" w:char="F0E8"/>
            </w:r>
            <w:r w:rsidR="00EA4304">
              <w:t xml:space="preserve"> </w:t>
            </w:r>
            <w:r w:rsidR="00D20E17">
              <w:t>Als dit blijkt bij 1</w:t>
            </w:r>
            <w:r w:rsidR="00D20E17" w:rsidRPr="00D20E17">
              <w:rPr>
                <w:vertAlign w:val="superscript"/>
              </w:rPr>
              <w:t>e</w:t>
            </w:r>
            <w:r w:rsidR="00D20E17">
              <w:t xml:space="preserve"> inschrijving, burger wijzen op 6-1,p</w:t>
            </w:r>
          </w:p>
        </w:tc>
        <w:tc>
          <w:tcPr>
            <w:tcW w:w="1984" w:type="dxa"/>
          </w:tcPr>
          <w:p w:rsidR="005C2FCF" w:rsidRPr="00C63667" w:rsidRDefault="005C2FCF" w:rsidP="00D46684">
            <w:r w:rsidRPr="00C63667">
              <w:t xml:space="preserve">Buitenland of NL </w:t>
            </w:r>
            <w:r w:rsidR="00D46684">
              <w:t>bij</w:t>
            </w:r>
            <w:r w:rsidRPr="00C63667">
              <w:t xml:space="preserve"> 1</w:t>
            </w:r>
            <w:r w:rsidRPr="00C63667">
              <w:rPr>
                <w:vertAlign w:val="superscript"/>
              </w:rPr>
              <w:t>e</w:t>
            </w:r>
            <w:r w:rsidRPr="00C63667">
              <w:t xml:space="preserve"> inschrijving BRP</w:t>
            </w:r>
          </w:p>
        </w:tc>
      </w:tr>
      <w:tr w:rsidR="005C2FCF" w:rsidRPr="00C63667" w:rsidTr="001733A0">
        <w:trPr>
          <w:trHeight w:val="567"/>
        </w:trPr>
        <w:tc>
          <w:tcPr>
            <w:tcW w:w="1696" w:type="dxa"/>
          </w:tcPr>
          <w:p w:rsidR="005C2FCF" w:rsidRPr="00C63667" w:rsidRDefault="005C2FCF" w:rsidP="00D46684">
            <w:pPr>
              <w:spacing w:after="160" w:line="259" w:lineRule="auto"/>
            </w:pPr>
            <w:r w:rsidRPr="00C63667">
              <w:t>16-1,a</w:t>
            </w:r>
            <w:r w:rsidR="00D46684">
              <w:t xml:space="preserve"> (of 16-1,a</w:t>
            </w:r>
            <w:r w:rsidR="00693550">
              <w:t xml:space="preserve"> RWN 1984)</w:t>
            </w:r>
          </w:p>
        </w:tc>
        <w:tc>
          <w:tcPr>
            <w:tcW w:w="5387" w:type="dxa"/>
            <w:vAlign w:val="center"/>
          </w:tcPr>
          <w:p w:rsidR="00D20E17" w:rsidRPr="00C63667" w:rsidRDefault="005C2FCF" w:rsidP="00D20E17">
            <w:pPr>
              <w:spacing w:after="160" w:line="259" w:lineRule="auto"/>
            </w:pPr>
            <w:r>
              <w:t xml:space="preserve">Verlies </w:t>
            </w:r>
            <w:proofErr w:type="spellStart"/>
            <w:r w:rsidR="00D20E17">
              <w:t>Ned.nat</w:t>
            </w:r>
            <w:proofErr w:type="spellEnd"/>
            <w:r w:rsidR="00D20E17">
              <w:t xml:space="preserve">. </w:t>
            </w:r>
            <w:r>
              <w:t>minderjarig</w:t>
            </w:r>
            <w:r w:rsidR="004B10C0">
              <w:t xml:space="preserve"> kin</w:t>
            </w:r>
            <w:r w:rsidR="00D20E17">
              <w:t>d</w:t>
            </w:r>
            <w:r>
              <w:t xml:space="preserve"> door ontstaan nieuwe </w:t>
            </w:r>
            <w:proofErr w:type="spellStart"/>
            <w:r>
              <w:t>frb</w:t>
            </w:r>
            <w:proofErr w:type="spellEnd"/>
            <w:r>
              <w:t xml:space="preserve"> en </w:t>
            </w:r>
            <w:r w:rsidR="00121E73">
              <w:t xml:space="preserve">verkrijgen </w:t>
            </w:r>
            <w:r>
              <w:t>nieuwe nationaliteit</w:t>
            </w:r>
            <w:r w:rsidR="00121E73">
              <w:t xml:space="preserve"> daardoor.</w:t>
            </w:r>
            <w:r w:rsidR="00D20E17">
              <w:br/>
            </w:r>
            <w:r w:rsidR="00B5400D">
              <w:sym w:font="Wingdings" w:char="F0E8"/>
            </w:r>
            <w:r w:rsidR="00B5400D">
              <w:t xml:space="preserve"> </w:t>
            </w:r>
            <w:r w:rsidR="00D20E17">
              <w:t xml:space="preserve">Als dit het geval is </w:t>
            </w:r>
            <w:r w:rsidR="00B5400D">
              <w:t xml:space="preserve">en bekend bij gemeente, </w:t>
            </w:r>
            <w:r w:rsidR="00D20E17">
              <w:t>burger wijzen op 6-1,p</w:t>
            </w:r>
          </w:p>
        </w:tc>
        <w:tc>
          <w:tcPr>
            <w:tcW w:w="1984" w:type="dxa"/>
          </w:tcPr>
          <w:p w:rsidR="005C2FCF" w:rsidRPr="00C63667" w:rsidRDefault="005C2FCF" w:rsidP="00C63667">
            <w:r w:rsidRPr="00C63667">
              <w:t>NL</w:t>
            </w:r>
          </w:p>
        </w:tc>
      </w:tr>
      <w:tr w:rsidR="005C2FCF" w:rsidRPr="00C63667" w:rsidTr="001733A0">
        <w:trPr>
          <w:trHeight w:val="567"/>
        </w:trPr>
        <w:tc>
          <w:tcPr>
            <w:tcW w:w="1696" w:type="dxa"/>
          </w:tcPr>
          <w:p w:rsidR="005C2FCF" w:rsidRPr="00C63667" w:rsidRDefault="005C2FCF" w:rsidP="00693550">
            <w:pPr>
              <w:spacing w:after="160" w:line="259" w:lineRule="auto"/>
            </w:pPr>
            <w:r w:rsidRPr="00C63667">
              <w:t>16-1,c</w:t>
            </w:r>
            <w:r w:rsidR="00693550">
              <w:t xml:space="preserve"> (of 16-1, b RWN 1984)</w:t>
            </w:r>
          </w:p>
        </w:tc>
        <w:tc>
          <w:tcPr>
            <w:tcW w:w="5387" w:type="dxa"/>
            <w:vAlign w:val="center"/>
          </w:tcPr>
          <w:p w:rsidR="005C2FCF" w:rsidRPr="00C63667" w:rsidRDefault="004B10C0" w:rsidP="00C63667">
            <w:pPr>
              <w:spacing w:after="160" w:line="259" w:lineRule="auto"/>
            </w:pPr>
            <w:r>
              <w:t xml:space="preserve">Verlies </w:t>
            </w:r>
            <w:proofErr w:type="spellStart"/>
            <w:r w:rsidR="00D20E17">
              <w:t>Ned.nat</w:t>
            </w:r>
            <w:proofErr w:type="spellEnd"/>
            <w:r w:rsidR="00D20E17">
              <w:t xml:space="preserve"> </w:t>
            </w:r>
            <w:r>
              <w:t>doordat ouder vrijwillig een andere nationaliteit krijgt en kind deelt of nationaliteit al heeft.</w:t>
            </w:r>
            <w:r w:rsidR="00D20E17">
              <w:br/>
            </w:r>
            <w:r w:rsidR="00B5400D">
              <w:sym w:font="Wingdings" w:char="F0E8"/>
            </w:r>
            <w:r w:rsidR="00B5400D">
              <w:t xml:space="preserve"> </w:t>
            </w:r>
            <w:r w:rsidR="00D20E17">
              <w:t>Als dit blijkt bij 1</w:t>
            </w:r>
            <w:r w:rsidR="00D20E17" w:rsidRPr="00D20E17">
              <w:rPr>
                <w:vertAlign w:val="superscript"/>
              </w:rPr>
              <w:t>e</w:t>
            </w:r>
            <w:r w:rsidR="00D20E17">
              <w:t xml:space="preserve"> inschrijving, burger wijzen op 6-1,p</w:t>
            </w:r>
          </w:p>
        </w:tc>
        <w:tc>
          <w:tcPr>
            <w:tcW w:w="1984" w:type="dxa"/>
          </w:tcPr>
          <w:p w:rsidR="005C2FCF" w:rsidRPr="00C63667" w:rsidRDefault="005C2FCF" w:rsidP="00D46684">
            <w:r w:rsidRPr="00C63667">
              <w:t>Buitenland</w:t>
            </w:r>
            <w:r w:rsidR="00BC3218">
              <w:t xml:space="preserve"> </w:t>
            </w:r>
            <w:r w:rsidR="00BC3218" w:rsidRPr="00C63667">
              <w:t xml:space="preserve">of NL </w:t>
            </w:r>
            <w:r w:rsidR="00D46684">
              <w:t>bij</w:t>
            </w:r>
            <w:r w:rsidR="00BC3218" w:rsidRPr="00C63667">
              <w:t xml:space="preserve"> 1</w:t>
            </w:r>
            <w:r w:rsidR="00BC3218" w:rsidRPr="00C63667">
              <w:rPr>
                <w:vertAlign w:val="superscript"/>
              </w:rPr>
              <w:t>e</w:t>
            </w:r>
            <w:r w:rsidR="00BC3218" w:rsidRPr="00C63667">
              <w:t xml:space="preserve"> inschrijving BRP</w:t>
            </w:r>
            <w:r w:rsidR="00D20E17">
              <w:t xml:space="preserve"> </w:t>
            </w:r>
          </w:p>
        </w:tc>
      </w:tr>
      <w:tr w:rsidR="005C2FCF" w:rsidRPr="00C63667" w:rsidTr="001733A0">
        <w:trPr>
          <w:trHeight w:val="567"/>
        </w:trPr>
        <w:tc>
          <w:tcPr>
            <w:tcW w:w="1696" w:type="dxa"/>
          </w:tcPr>
          <w:p w:rsidR="005C2FCF" w:rsidRPr="0095019C" w:rsidRDefault="005C2FCF" w:rsidP="00C63667">
            <w:pPr>
              <w:spacing w:after="160" w:line="259" w:lineRule="auto"/>
              <w:rPr>
                <w:lang w:val="en-US"/>
              </w:rPr>
            </w:pPr>
            <w:r w:rsidRPr="0095019C">
              <w:rPr>
                <w:lang w:val="en-US"/>
              </w:rPr>
              <w:lastRenderedPageBreak/>
              <w:t>16-1,d (jo. 15-1b)</w:t>
            </w:r>
            <w:r w:rsidR="00693550" w:rsidRPr="0095019C">
              <w:rPr>
                <w:lang w:val="en-US"/>
              </w:rPr>
              <w:t xml:space="preserve"> (of 16-1,c RWN 1984)</w:t>
            </w:r>
          </w:p>
        </w:tc>
        <w:tc>
          <w:tcPr>
            <w:tcW w:w="5387" w:type="dxa"/>
            <w:vAlign w:val="center"/>
          </w:tcPr>
          <w:p w:rsidR="00121E73" w:rsidRPr="00C63667" w:rsidRDefault="00121E73" w:rsidP="001A1DAE">
            <w:r>
              <w:t xml:space="preserve">Verlies </w:t>
            </w:r>
            <w:proofErr w:type="spellStart"/>
            <w:r w:rsidR="00D20E17">
              <w:t>Ned.nat</w:t>
            </w:r>
            <w:proofErr w:type="spellEnd"/>
            <w:r w:rsidR="00D20E17">
              <w:t xml:space="preserve">. minderjarig </w:t>
            </w:r>
            <w:r w:rsidR="004B10C0">
              <w:t xml:space="preserve">kind </w:t>
            </w:r>
            <w:r>
              <w:t>doordat ouder afstand heeft ged</w:t>
            </w:r>
            <w:r w:rsidR="00D20E17">
              <w:t>a</w:t>
            </w:r>
            <w:r>
              <w:t>an.</w:t>
            </w:r>
            <w:r w:rsidR="00D20E17">
              <w:br/>
            </w:r>
            <w:r w:rsidR="00B5400D">
              <w:sym w:font="Wingdings" w:char="F0E8"/>
            </w:r>
            <w:r w:rsidR="00B5400D">
              <w:t xml:space="preserve"> </w:t>
            </w:r>
            <w:r w:rsidR="00D20E17">
              <w:t xml:space="preserve">Als dit het geval is </w:t>
            </w:r>
            <w:r w:rsidR="001A1DAE">
              <w:t>en kind blijft in NL wonen, ouder</w:t>
            </w:r>
            <w:r w:rsidR="00D20E17">
              <w:t xml:space="preserve"> aanschrijven en wijzen op 6-1,p </w:t>
            </w:r>
            <w:r w:rsidR="007E5411">
              <w:t xml:space="preserve">voor kinderen </w:t>
            </w:r>
            <w:r w:rsidR="00D20E17">
              <w:t>(in werkproces afstand opnemen)</w:t>
            </w:r>
            <w:r w:rsidR="00D20E17">
              <w:br/>
            </w:r>
          </w:p>
        </w:tc>
        <w:tc>
          <w:tcPr>
            <w:tcW w:w="1984" w:type="dxa"/>
          </w:tcPr>
          <w:p w:rsidR="005C2FCF" w:rsidRPr="00C63667" w:rsidRDefault="005C2FCF" w:rsidP="005C2FCF">
            <w:pPr>
              <w:spacing w:after="160" w:line="259" w:lineRule="auto"/>
            </w:pPr>
            <w:r w:rsidRPr="00C63667">
              <w:t xml:space="preserve">NL </w:t>
            </w:r>
          </w:p>
          <w:p w:rsidR="005C2FCF" w:rsidRPr="00C63667" w:rsidRDefault="005C2FCF" w:rsidP="00C63667"/>
        </w:tc>
      </w:tr>
      <w:tr w:rsidR="005C2FCF" w:rsidRPr="00C63667" w:rsidTr="001733A0">
        <w:trPr>
          <w:trHeight w:val="567"/>
        </w:trPr>
        <w:tc>
          <w:tcPr>
            <w:tcW w:w="1696" w:type="dxa"/>
          </w:tcPr>
          <w:p w:rsidR="005C2FCF" w:rsidRDefault="00693550" w:rsidP="00C63667">
            <w:pPr>
              <w:spacing w:after="160" w:line="259" w:lineRule="auto"/>
            </w:pPr>
            <w:r>
              <w:t>16-1,d (jo. 15-1,d) (of 16-1, c)</w:t>
            </w:r>
          </w:p>
          <w:p w:rsidR="00B5400D" w:rsidRPr="00C63667" w:rsidRDefault="00B5400D" w:rsidP="00C63667">
            <w:pPr>
              <w:spacing w:after="160" w:line="259" w:lineRule="auto"/>
            </w:pPr>
          </w:p>
        </w:tc>
        <w:tc>
          <w:tcPr>
            <w:tcW w:w="5387" w:type="dxa"/>
            <w:vAlign w:val="center"/>
          </w:tcPr>
          <w:p w:rsidR="005C2FCF" w:rsidRPr="00C63667" w:rsidRDefault="004B10C0" w:rsidP="001A1DAE">
            <w:r>
              <w:t xml:space="preserve">Verlies </w:t>
            </w:r>
            <w:proofErr w:type="spellStart"/>
            <w:r w:rsidR="00D20E17">
              <w:t>Ned.nat</w:t>
            </w:r>
            <w:proofErr w:type="spellEnd"/>
            <w:r w:rsidR="00D20E17">
              <w:t xml:space="preserve">. minderjarig </w:t>
            </w:r>
            <w:r>
              <w:t>kind</w:t>
            </w:r>
            <w:r w:rsidR="00693550">
              <w:t xml:space="preserve"> </w:t>
            </w:r>
            <w:r>
              <w:t>na intrekking Nederlandse nationaliteit</w:t>
            </w:r>
            <w:r w:rsidR="001733A0">
              <w:t xml:space="preserve"> van ouder,</w:t>
            </w:r>
            <w:r>
              <w:t xml:space="preserve"> omdat ouder geen afstand heeft gedaan na naturalisatie.</w:t>
            </w:r>
            <w:r w:rsidR="00D20E17">
              <w:br/>
            </w:r>
            <w:r w:rsidR="00B5400D">
              <w:sym w:font="Wingdings" w:char="F0E8"/>
            </w:r>
            <w:r w:rsidR="00B5400D">
              <w:t xml:space="preserve"> </w:t>
            </w:r>
            <w:r w:rsidR="00D20E17">
              <w:t xml:space="preserve">Als dit het geval is </w:t>
            </w:r>
            <w:r w:rsidR="001A1DAE">
              <w:t>ouder</w:t>
            </w:r>
            <w:r w:rsidR="00D20E17">
              <w:t xml:space="preserve"> in brief wijzen op 6-1,p voor kinderen</w:t>
            </w:r>
            <w:r w:rsidR="00D20E17">
              <w:br/>
            </w:r>
          </w:p>
        </w:tc>
        <w:tc>
          <w:tcPr>
            <w:tcW w:w="1984" w:type="dxa"/>
          </w:tcPr>
          <w:p w:rsidR="005C2FCF" w:rsidRPr="00C63667" w:rsidRDefault="005C2FCF" w:rsidP="005C2FCF">
            <w:pPr>
              <w:spacing w:after="160" w:line="259" w:lineRule="auto"/>
            </w:pPr>
            <w:r w:rsidRPr="00C63667">
              <w:t>NL</w:t>
            </w:r>
          </w:p>
          <w:p w:rsidR="005C2FCF" w:rsidRPr="00C63667" w:rsidRDefault="005C2FCF" w:rsidP="00C63667"/>
        </w:tc>
      </w:tr>
      <w:tr w:rsidR="005C2FCF" w:rsidRPr="00C63667" w:rsidTr="001733A0">
        <w:trPr>
          <w:trHeight w:val="567"/>
        </w:trPr>
        <w:tc>
          <w:tcPr>
            <w:tcW w:w="1696" w:type="dxa"/>
          </w:tcPr>
          <w:p w:rsidR="005C2FCF" w:rsidRPr="0095019C" w:rsidRDefault="005C2FCF" w:rsidP="004B10C0">
            <w:pPr>
              <w:spacing w:after="160" w:line="259" w:lineRule="auto"/>
              <w:rPr>
                <w:lang w:val="en-US"/>
              </w:rPr>
            </w:pPr>
            <w:r w:rsidRPr="0095019C">
              <w:rPr>
                <w:lang w:val="en-US"/>
              </w:rPr>
              <w:t>16-1,d (jo. 15-1, c)</w:t>
            </w:r>
            <w:r w:rsidR="00101A3B" w:rsidRPr="0095019C">
              <w:rPr>
                <w:lang w:val="en-US"/>
              </w:rPr>
              <w:t xml:space="preserve"> (of 16-1,c RWN 1984)</w:t>
            </w:r>
          </w:p>
        </w:tc>
        <w:tc>
          <w:tcPr>
            <w:tcW w:w="5387" w:type="dxa"/>
            <w:vAlign w:val="center"/>
          </w:tcPr>
          <w:p w:rsidR="005C2FCF" w:rsidRPr="00C63667" w:rsidRDefault="004B10C0" w:rsidP="001733A0">
            <w:pPr>
              <w:spacing w:after="160" w:line="259" w:lineRule="auto"/>
            </w:pPr>
            <w:r>
              <w:t xml:space="preserve">Verlies </w:t>
            </w:r>
            <w:proofErr w:type="spellStart"/>
            <w:r w:rsidR="007E5411">
              <w:t>Ned.nat</w:t>
            </w:r>
            <w:proofErr w:type="spellEnd"/>
            <w:r w:rsidR="007E5411">
              <w:t xml:space="preserve">. minderjarig </w:t>
            </w:r>
            <w:r>
              <w:t xml:space="preserve">kind </w:t>
            </w:r>
            <w:r w:rsidR="001733A0">
              <w:t>door</w:t>
            </w:r>
            <w:r>
              <w:t xml:space="preserve">dat ouder </w:t>
            </w:r>
            <w:proofErr w:type="spellStart"/>
            <w:r>
              <w:t>Ned.nat</w:t>
            </w:r>
            <w:proofErr w:type="spellEnd"/>
            <w:r>
              <w:t xml:space="preserve"> is verloren door  langdurig verblijf buiten NL/EU</w:t>
            </w:r>
            <w:r w:rsidR="007E5411">
              <w:br/>
            </w:r>
            <w:r w:rsidR="00B5400D">
              <w:sym w:font="Wingdings" w:char="F0E8"/>
            </w:r>
            <w:r w:rsidR="00B5400D">
              <w:t xml:space="preserve"> </w:t>
            </w:r>
            <w:r w:rsidR="007E5411">
              <w:t>Als dit blijkt bij 1</w:t>
            </w:r>
            <w:r w:rsidR="007E5411" w:rsidRPr="00D20E17">
              <w:rPr>
                <w:vertAlign w:val="superscript"/>
              </w:rPr>
              <w:t>e</w:t>
            </w:r>
            <w:r w:rsidR="007E5411">
              <w:t xml:space="preserve"> inschrijving, burger wijzen op 6-1,</w:t>
            </w:r>
            <w:r w:rsidR="00B5400D">
              <w:t>p</w:t>
            </w:r>
            <w:r w:rsidR="007E5411">
              <w:t xml:space="preserve"> ook voor kinderen</w:t>
            </w:r>
          </w:p>
        </w:tc>
        <w:tc>
          <w:tcPr>
            <w:tcW w:w="1984" w:type="dxa"/>
          </w:tcPr>
          <w:p w:rsidR="005C2FCF" w:rsidRPr="00C63667" w:rsidRDefault="005C2FCF" w:rsidP="001733A0">
            <w:r w:rsidRPr="00C63667">
              <w:t>Buitenland</w:t>
            </w:r>
            <w:r w:rsidR="00BC3218">
              <w:t xml:space="preserve"> </w:t>
            </w:r>
            <w:r w:rsidR="00BC3218" w:rsidRPr="00C63667">
              <w:t xml:space="preserve">of NL </w:t>
            </w:r>
            <w:r w:rsidR="001733A0">
              <w:t>bij</w:t>
            </w:r>
            <w:r w:rsidR="00BC3218" w:rsidRPr="00C63667">
              <w:t xml:space="preserve"> 1</w:t>
            </w:r>
            <w:r w:rsidR="00BC3218" w:rsidRPr="00C63667">
              <w:rPr>
                <w:vertAlign w:val="superscript"/>
              </w:rPr>
              <w:t>e</w:t>
            </w:r>
            <w:r w:rsidR="00BC3218" w:rsidRPr="00C63667">
              <w:t xml:space="preserve"> inschrijving BRP</w:t>
            </w:r>
            <w:r w:rsidR="007E5411">
              <w:t xml:space="preserve"> </w:t>
            </w:r>
          </w:p>
        </w:tc>
      </w:tr>
      <w:tr w:rsidR="005C2FCF" w:rsidRPr="00C63667" w:rsidTr="001733A0">
        <w:trPr>
          <w:trHeight w:val="567"/>
        </w:trPr>
        <w:tc>
          <w:tcPr>
            <w:tcW w:w="1696" w:type="dxa"/>
          </w:tcPr>
          <w:p w:rsidR="005C2FCF" w:rsidRPr="00C63667" w:rsidRDefault="005C2FCF" w:rsidP="00C63667">
            <w:pPr>
              <w:spacing w:after="160" w:line="259" w:lineRule="auto"/>
            </w:pPr>
            <w:r w:rsidRPr="00C63667">
              <w:t>16-1,e</w:t>
            </w:r>
            <w:r w:rsidR="00693550">
              <w:t xml:space="preserve"> (of 16-1, d RWN 1984)</w:t>
            </w:r>
          </w:p>
        </w:tc>
        <w:tc>
          <w:tcPr>
            <w:tcW w:w="5387" w:type="dxa"/>
            <w:vAlign w:val="center"/>
          </w:tcPr>
          <w:p w:rsidR="005C2FCF" w:rsidRPr="00C63667" w:rsidRDefault="004B10C0" w:rsidP="007E5411">
            <w:pPr>
              <w:spacing w:after="160" w:line="259" w:lineRule="auto"/>
            </w:pPr>
            <w:r>
              <w:t xml:space="preserve">Verlies </w:t>
            </w:r>
            <w:proofErr w:type="spellStart"/>
            <w:r w:rsidR="007E5411">
              <w:t>Ned.nat</w:t>
            </w:r>
            <w:proofErr w:type="spellEnd"/>
            <w:r w:rsidR="006E6CF0">
              <w:t>.</w:t>
            </w:r>
            <w:r w:rsidR="007E5411">
              <w:t xml:space="preserve"> minderjarig </w:t>
            </w:r>
            <w:r>
              <w:t xml:space="preserve">kind doordat </w:t>
            </w:r>
            <w:r w:rsidR="007E5411">
              <w:t>kind</w:t>
            </w:r>
            <w:r>
              <w:t xml:space="preserve"> zelfstandig de nationaliteit van een ouder verkrijgt.</w:t>
            </w:r>
            <w:r w:rsidR="007E5411">
              <w:br/>
            </w:r>
            <w:r w:rsidR="00B5400D">
              <w:sym w:font="Wingdings" w:char="F0E8"/>
            </w:r>
            <w:r w:rsidR="00B5400D">
              <w:t xml:space="preserve"> </w:t>
            </w:r>
            <w:r w:rsidR="007E5411">
              <w:t>Als dit blijkt bij 1</w:t>
            </w:r>
            <w:r w:rsidR="007E5411" w:rsidRPr="00D20E17">
              <w:rPr>
                <w:vertAlign w:val="superscript"/>
              </w:rPr>
              <w:t>e</w:t>
            </w:r>
            <w:r w:rsidR="007E5411">
              <w:t xml:space="preserve"> inschrijving, burger </w:t>
            </w:r>
            <w:r w:rsidR="001A1DAE">
              <w:t xml:space="preserve">(ouder) </w:t>
            </w:r>
            <w:r w:rsidR="007E5411">
              <w:t>wijzen op 6-1,p</w:t>
            </w:r>
          </w:p>
        </w:tc>
        <w:tc>
          <w:tcPr>
            <w:tcW w:w="1984" w:type="dxa"/>
          </w:tcPr>
          <w:p w:rsidR="005C2FCF" w:rsidRPr="00C63667" w:rsidRDefault="005C2FCF" w:rsidP="001733A0">
            <w:r w:rsidRPr="00C63667">
              <w:t>Buitenland</w:t>
            </w:r>
            <w:r w:rsidR="00BC3218" w:rsidRPr="00C63667">
              <w:t xml:space="preserve"> of NL </w:t>
            </w:r>
            <w:r w:rsidR="001733A0">
              <w:t>bij</w:t>
            </w:r>
            <w:r w:rsidR="00BC3218" w:rsidRPr="00C63667">
              <w:t xml:space="preserve"> 1</w:t>
            </w:r>
            <w:r w:rsidR="00BC3218" w:rsidRPr="00C63667">
              <w:rPr>
                <w:vertAlign w:val="superscript"/>
              </w:rPr>
              <w:t>e</w:t>
            </w:r>
            <w:r w:rsidR="00BC3218" w:rsidRPr="00C63667">
              <w:t xml:space="preserve"> inschrijving BRP</w:t>
            </w:r>
            <w:r w:rsidR="00BC3218">
              <w:t xml:space="preserve"> </w:t>
            </w:r>
          </w:p>
        </w:tc>
      </w:tr>
      <w:tr w:rsidR="009E0A5D" w:rsidRPr="00C63667" w:rsidTr="001733A0">
        <w:trPr>
          <w:trHeight w:val="567"/>
        </w:trPr>
        <w:tc>
          <w:tcPr>
            <w:tcW w:w="1696" w:type="dxa"/>
          </w:tcPr>
          <w:p w:rsidR="009E0A5D" w:rsidRDefault="009E0A5D" w:rsidP="00C63667">
            <w:r>
              <w:t>15A</w:t>
            </w:r>
          </w:p>
          <w:p w:rsidR="009E0A5D" w:rsidRPr="00C63667" w:rsidRDefault="009E0A5D" w:rsidP="00C63667">
            <w:r>
              <w:t>16A</w:t>
            </w:r>
          </w:p>
        </w:tc>
        <w:tc>
          <w:tcPr>
            <w:tcW w:w="5387" w:type="dxa"/>
            <w:vAlign w:val="center"/>
          </w:tcPr>
          <w:p w:rsidR="009E0A5D" w:rsidRDefault="009E0A5D" w:rsidP="004B10C0">
            <w:r>
              <w:t>Verlies ten</w:t>
            </w:r>
            <w:r w:rsidR="00693550">
              <w:t xml:space="preserve"> </w:t>
            </w:r>
            <w:r>
              <w:t>gevolge van het Verdrag van Straatsburg</w:t>
            </w:r>
            <w:r w:rsidR="00D20E17">
              <w:t xml:space="preserve"> (vrijwillig verkrijgen andere nationaliteit van verdragsland)</w:t>
            </w:r>
            <w:r w:rsidR="007E5411">
              <w:br/>
            </w:r>
            <w:r w:rsidR="00B5400D">
              <w:sym w:font="Wingdings" w:char="F0E8"/>
            </w:r>
            <w:r w:rsidR="00B5400D">
              <w:t xml:space="preserve"> </w:t>
            </w:r>
            <w:r w:rsidR="007E5411">
              <w:t>Als dit blijkt bij 1</w:t>
            </w:r>
            <w:r w:rsidR="007E5411" w:rsidRPr="00D20E17">
              <w:rPr>
                <w:vertAlign w:val="superscript"/>
              </w:rPr>
              <w:t>e</w:t>
            </w:r>
            <w:r w:rsidR="007E5411">
              <w:t xml:space="preserve"> inschrijving, burger</w:t>
            </w:r>
            <w:r w:rsidR="001A1DAE">
              <w:t>/ouder</w:t>
            </w:r>
            <w:r w:rsidR="007E5411">
              <w:t xml:space="preserve"> wijzen op 6-1,p</w:t>
            </w:r>
            <w:r w:rsidR="00B5400D">
              <w:br/>
            </w:r>
          </w:p>
        </w:tc>
        <w:tc>
          <w:tcPr>
            <w:tcW w:w="1984" w:type="dxa"/>
          </w:tcPr>
          <w:p w:rsidR="009E0A5D" w:rsidRPr="00C63667" w:rsidRDefault="00BC3218" w:rsidP="001733A0">
            <w:r w:rsidRPr="00C63667">
              <w:t xml:space="preserve">Buitenland of NL </w:t>
            </w:r>
            <w:r w:rsidR="001733A0">
              <w:t>bij</w:t>
            </w:r>
            <w:r w:rsidRPr="00C63667">
              <w:t xml:space="preserve"> 1</w:t>
            </w:r>
            <w:r w:rsidRPr="00C63667">
              <w:rPr>
                <w:vertAlign w:val="superscript"/>
              </w:rPr>
              <w:t>e</w:t>
            </w:r>
            <w:r w:rsidRPr="00C63667">
              <w:t xml:space="preserve"> inschrijving BRP</w:t>
            </w:r>
            <w:r>
              <w:t xml:space="preserve"> </w:t>
            </w:r>
          </w:p>
        </w:tc>
      </w:tr>
    </w:tbl>
    <w:p w:rsidR="00A2386F" w:rsidRPr="004B10C0" w:rsidRDefault="00A2386F" w:rsidP="00A2386F">
      <w:pPr>
        <w:rPr>
          <w:b/>
        </w:rPr>
      </w:pPr>
    </w:p>
    <w:p w:rsidR="004B10C0" w:rsidRPr="006E6CF0" w:rsidRDefault="006E6CF0" w:rsidP="006E6CF0">
      <w:pPr>
        <w:spacing w:after="0"/>
        <w:rPr>
          <w:b/>
        </w:rPr>
      </w:pPr>
      <w:r w:rsidRPr="006E6CF0">
        <w:rPr>
          <w:b/>
        </w:rPr>
        <w:t>2.</w:t>
      </w:r>
      <w:r>
        <w:rPr>
          <w:b/>
        </w:rPr>
        <w:t xml:space="preserve"> </w:t>
      </w:r>
      <w:r w:rsidR="004B10C0" w:rsidRPr="006E6CF0">
        <w:rPr>
          <w:b/>
        </w:rPr>
        <w:t>Verliestermijn 15-1,</w:t>
      </w:r>
      <w:r w:rsidR="0018755C" w:rsidRPr="006E6CF0">
        <w:rPr>
          <w:b/>
        </w:rPr>
        <w:t xml:space="preserve"> </w:t>
      </w:r>
      <w:r w:rsidR="004B10C0" w:rsidRPr="006E6CF0">
        <w:rPr>
          <w:b/>
        </w:rPr>
        <w:t>c wordt 13 jaar</w:t>
      </w:r>
    </w:p>
    <w:p w:rsidR="004B10C0" w:rsidRDefault="006E6CF0" w:rsidP="00A2386F">
      <w:r>
        <w:t>De verliestermijn voor verlies Nederlandse nationaliteit</w:t>
      </w:r>
      <w:r w:rsidR="001733A0">
        <w:t>,</w:t>
      </w:r>
      <w:r>
        <w:t xml:space="preserve"> bij lang verblijf in het buitenland</w:t>
      </w:r>
      <w:r w:rsidR="001733A0">
        <w:t>,</w:t>
      </w:r>
      <w:r>
        <w:t xml:space="preserve"> wordt 13 jaar. Dit was 10 jaar. </w:t>
      </w:r>
      <w:r w:rsidR="004B10C0" w:rsidRPr="004B10C0">
        <w:t>Deze wijziging heeft te maken</w:t>
      </w:r>
      <w:r w:rsidR="004B10C0">
        <w:t xml:space="preserve"> met het feit dat paspoorten nu 10 jaar geldig zijn en niet meer 5 jaar.</w:t>
      </w:r>
      <w:r>
        <w:t xml:space="preserve"> Het verlies kan voorkomen worden door </w:t>
      </w:r>
      <w:r w:rsidR="005210FA">
        <w:t>binnen de verliestermijn een nieuw paspoort, ID-kaart of bewijs Nederlanderschap aan te vragen.</w:t>
      </w:r>
    </w:p>
    <w:p w:rsidR="004B10C0" w:rsidRDefault="004B10C0" w:rsidP="00A2386F">
      <w:r>
        <w:t>Er is g</w:t>
      </w:r>
      <w:r w:rsidR="00264786">
        <w:t>éé</w:t>
      </w:r>
      <w:r>
        <w:t xml:space="preserve">n overgangsrecht voor deze wijziging. Dit betekent dat iedereen die voor 1 april 2022 de Nederlandse nationaliteit is verloren door het verstrijken van de 10 jaar termijn, de Nederlandse nationaliteit is verloren. </w:t>
      </w:r>
      <w:r w:rsidR="00264786">
        <w:t>(Hij kan wel opteren op grond van artikel 6, lid 1, onder p RWN)</w:t>
      </w:r>
      <w:r w:rsidR="00101A3B">
        <w:br/>
      </w:r>
      <w:r>
        <w:t>Er had bijvoorbeeld in het overgangsrecht geregeld kunn</w:t>
      </w:r>
      <w:r w:rsidR="00FA508D">
        <w:t>en worden dat als de termijn van 13 jaar nog niet verstreken is op 1 april 2022 de Nederlandse nationaliteit</w:t>
      </w:r>
      <w:r w:rsidR="005210FA">
        <w:t xml:space="preserve"> g</w:t>
      </w:r>
      <w:r w:rsidR="001733A0">
        <w:t>e</w:t>
      </w:r>
      <w:r w:rsidR="005210FA">
        <w:t>acht wordt niet te zijn</w:t>
      </w:r>
      <w:r w:rsidR="00FA508D">
        <w:t xml:space="preserve"> verloren. </w:t>
      </w:r>
      <w:r w:rsidR="00101A3B">
        <w:t>Het is nu aan de rechter om dat eventueel te beslissen.</w:t>
      </w:r>
    </w:p>
    <w:p w:rsidR="00FA508D" w:rsidRPr="004B10C0" w:rsidRDefault="005210FA" w:rsidP="00A2386F">
      <w:r w:rsidRPr="00264786">
        <w:rPr>
          <w:color w:val="FF0000"/>
        </w:rPr>
        <w:t xml:space="preserve">Let op! </w:t>
      </w:r>
      <w:r w:rsidR="00FA508D">
        <w:t>Dit betekent dat de</w:t>
      </w:r>
      <w:r w:rsidR="00C1520F">
        <w:t xml:space="preserve"> nieuwe</w:t>
      </w:r>
      <w:r w:rsidR="00FA508D">
        <w:t xml:space="preserve"> termijn van 13 jaar </w:t>
      </w:r>
      <w:r w:rsidR="00FA508D" w:rsidRPr="005210FA">
        <w:rPr>
          <w:b/>
        </w:rPr>
        <w:t xml:space="preserve">alleen </w:t>
      </w:r>
      <w:r w:rsidR="00FA508D">
        <w:t xml:space="preserve">geldt voor </w:t>
      </w:r>
      <w:r>
        <w:t xml:space="preserve">Nederlanders </w:t>
      </w:r>
      <w:r w:rsidR="00FA508D">
        <w:t xml:space="preserve">waarvoor de verliestermijn is gestart </w:t>
      </w:r>
      <w:r w:rsidR="00FA508D" w:rsidRPr="005210FA">
        <w:rPr>
          <w:b/>
        </w:rPr>
        <w:t xml:space="preserve">na </w:t>
      </w:r>
      <w:r w:rsidR="00FA508D">
        <w:t>31 maart 2012.</w:t>
      </w:r>
    </w:p>
    <w:sectPr w:rsidR="00FA508D" w:rsidRPr="004B1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7F7"/>
    <w:multiLevelType w:val="hybridMultilevel"/>
    <w:tmpl w:val="F8F0A234"/>
    <w:lvl w:ilvl="0" w:tplc="091823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297E48"/>
    <w:multiLevelType w:val="hybridMultilevel"/>
    <w:tmpl w:val="0F6050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DA7336"/>
    <w:multiLevelType w:val="hybridMultilevel"/>
    <w:tmpl w:val="5BB48E0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7A3E55"/>
    <w:multiLevelType w:val="hybridMultilevel"/>
    <w:tmpl w:val="D3B2E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6F"/>
    <w:rsid w:val="000232B2"/>
    <w:rsid w:val="00101A3B"/>
    <w:rsid w:val="00121E73"/>
    <w:rsid w:val="001733A0"/>
    <w:rsid w:val="0018755C"/>
    <w:rsid w:val="001A1DAE"/>
    <w:rsid w:val="001D214E"/>
    <w:rsid w:val="001F7C13"/>
    <w:rsid w:val="00264786"/>
    <w:rsid w:val="003E4A31"/>
    <w:rsid w:val="004A1022"/>
    <w:rsid w:val="004A5C2C"/>
    <w:rsid w:val="004B10C0"/>
    <w:rsid w:val="005210FA"/>
    <w:rsid w:val="005C2FCF"/>
    <w:rsid w:val="005E2AC2"/>
    <w:rsid w:val="00693550"/>
    <w:rsid w:val="006E6CF0"/>
    <w:rsid w:val="00701937"/>
    <w:rsid w:val="00733C26"/>
    <w:rsid w:val="007B0763"/>
    <w:rsid w:val="007E5411"/>
    <w:rsid w:val="0095019C"/>
    <w:rsid w:val="009E0A5D"/>
    <w:rsid w:val="00A2386F"/>
    <w:rsid w:val="00B5400D"/>
    <w:rsid w:val="00BC3218"/>
    <w:rsid w:val="00C1520F"/>
    <w:rsid w:val="00C22F54"/>
    <w:rsid w:val="00C63667"/>
    <w:rsid w:val="00D20E17"/>
    <w:rsid w:val="00D46684"/>
    <w:rsid w:val="00DB1F5C"/>
    <w:rsid w:val="00DB3339"/>
    <w:rsid w:val="00DC5913"/>
    <w:rsid w:val="00DE6981"/>
    <w:rsid w:val="00DF5B3C"/>
    <w:rsid w:val="00E25114"/>
    <w:rsid w:val="00E33F8E"/>
    <w:rsid w:val="00EA4304"/>
    <w:rsid w:val="00FA508D"/>
    <w:rsid w:val="00FA5C80"/>
    <w:rsid w:val="00FE2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F0AA"/>
  <w15:chartTrackingRefBased/>
  <w15:docId w15:val="{DAC09F18-8045-490C-AAC8-2A8F229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386F"/>
    <w:pPr>
      <w:ind w:left="720"/>
      <w:contextualSpacing/>
    </w:pPr>
  </w:style>
  <w:style w:type="table" w:styleId="Tabelraster">
    <w:name w:val="Table Grid"/>
    <w:basedOn w:val="Standaardtabel"/>
    <w:uiPriority w:val="39"/>
    <w:rsid w:val="00C6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1202</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 José</dc:creator>
  <cp:keywords/>
  <dc:description/>
  <cp:lastModifiedBy>Guit, José</cp:lastModifiedBy>
  <cp:revision>10</cp:revision>
  <dcterms:created xsi:type="dcterms:W3CDTF">2022-02-04T09:58:00Z</dcterms:created>
  <dcterms:modified xsi:type="dcterms:W3CDTF">2022-02-17T09:17:00Z</dcterms:modified>
</cp:coreProperties>
</file>